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9C8" w:rsidRDefault="00FC79C8" w:rsidP="00FC79C8">
      <w:pPr>
        <w:pStyle w:val="NormalWeb"/>
        <w:shd w:val="clear" w:color="auto" w:fill="FFFFFF"/>
        <w:spacing w:before="0" w:beforeAutospacing="0" w:after="0" w:afterAutospacing="0" w:line="348" w:lineRule="atLeast"/>
        <w:jc w:val="center"/>
        <w:rPr>
          <w:rFonts w:asciiTheme="minorHAnsi" w:hAnsiTheme="minorHAnsi" w:cstheme="minorHAnsi"/>
          <w:color w:val="333333"/>
          <w:spacing w:val="-5"/>
          <w:sz w:val="30"/>
          <w:szCs w:val="30"/>
        </w:rPr>
      </w:pP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Confira a taxa de desperdício em cada estado, de acordo com o Sistema Nacional de Informações sobre Saneamento:</w:t>
      </w:r>
    </w:p>
    <w:p w:rsidR="00FC79C8" w:rsidRPr="00FC79C8" w:rsidRDefault="00FC79C8" w:rsidP="00FC79C8">
      <w:pPr>
        <w:pStyle w:val="NormalWeb"/>
        <w:shd w:val="clear" w:color="auto" w:fill="FFFFFF"/>
        <w:spacing w:before="0" w:beforeAutospacing="0" w:after="0" w:afterAutospacing="0" w:line="348" w:lineRule="atLeast"/>
        <w:jc w:val="center"/>
        <w:rPr>
          <w:rFonts w:asciiTheme="minorHAnsi" w:hAnsiTheme="minorHAnsi" w:cstheme="minorHAnsi"/>
          <w:color w:val="333333"/>
          <w:spacing w:val="-5"/>
          <w:sz w:val="30"/>
          <w:szCs w:val="30"/>
        </w:rPr>
      </w:pPr>
    </w:p>
    <w:p w:rsidR="00FC79C8" w:rsidRPr="00FC79C8" w:rsidRDefault="00FC79C8" w:rsidP="00FC79C8">
      <w:pPr>
        <w:pStyle w:val="NormalWeb"/>
        <w:shd w:val="clear" w:color="auto" w:fill="FFFFFF"/>
        <w:spacing w:before="0" w:beforeAutospacing="0" w:after="0" w:afterAutospacing="0" w:line="348" w:lineRule="atLeast"/>
        <w:jc w:val="center"/>
        <w:rPr>
          <w:rFonts w:asciiTheme="minorHAnsi" w:hAnsiTheme="minorHAnsi" w:cstheme="minorHAnsi"/>
          <w:color w:val="333333"/>
          <w:spacing w:val="-5"/>
          <w:sz w:val="30"/>
          <w:szCs w:val="30"/>
        </w:rPr>
      </w:pPr>
      <w:r w:rsidRPr="00FC79C8">
        <w:rPr>
          <w:rStyle w:val="Forte"/>
          <w:rFonts w:asciiTheme="minorHAnsi" w:hAnsiTheme="minorHAnsi" w:cstheme="minorHAnsi"/>
          <w:color w:val="333333"/>
          <w:spacing w:val="-5"/>
          <w:sz w:val="36"/>
          <w:szCs w:val="36"/>
        </w:rPr>
        <w:t>Região Norte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Acre: 55,9%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Amazonas: 47,0%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Amapá: 76,5%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Pará: 48,9%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Rondônia: 52,8%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Roraima: 59,7%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Tocantins: 34,3%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Style w:val="Forte"/>
          <w:rFonts w:asciiTheme="minorHAnsi" w:hAnsiTheme="minorHAnsi" w:cstheme="minorHAnsi"/>
          <w:color w:val="333333"/>
          <w:spacing w:val="-5"/>
          <w:sz w:val="36"/>
          <w:szCs w:val="36"/>
        </w:rPr>
        <w:t>Região Nordeste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Alagoas: 46,1%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Bahia: 41,6%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Ceará: 36,5%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Maranhão: 37,8%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Paraíba: 36,2%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Pernambuco: 53,7%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Piauí: 51,8%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Rio Grande do Norte: 55,3%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Sergipe: 59,3%</w:t>
      </w:r>
    </w:p>
    <w:p w:rsidR="00FC79C8" w:rsidRPr="00FC79C8" w:rsidRDefault="00FC79C8" w:rsidP="00FC79C8">
      <w:pPr>
        <w:pStyle w:val="NormalWeb"/>
        <w:shd w:val="clear" w:color="auto" w:fill="FFFFFF"/>
        <w:spacing w:before="0" w:beforeAutospacing="0" w:after="0" w:afterAutospacing="0" w:line="348" w:lineRule="atLeast"/>
        <w:jc w:val="center"/>
        <w:rPr>
          <w:rFonts w:asciiTheme="minorHAnsi" w:hAnsiTheme="minorHAnsi" w:cstheme="minorHAnsi"/>
          <w:color w:val="333333"/>
          <w:spacing w:val="-5"/>
          <w:sz w:val="30"/>
          <w:szCs w:val="30"/>
        </w:rPr>
      </w:pPr>
      <w:r w:rsidRPr="00FC79C8">
        <w:rPr>
          <w:rStyle w:val="Forte"/>
          <w:rFonts w:asciiTheme="minorHAnsi" w:hAnsiTheme="minorHAnsi" w:cstheme="minorHAnsi"/>
          <w:color w:val="333333"/>
          <w:spacing w:val="-5"/>
          <w:sz w:val="36"/>
          <w:szCs w:val="36"/>
        </w:rPr>
        <w:t>Sudeste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Espírito Santo: 34,4%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Minas Gerais: 33,5%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Rio de Janeiro: 30,8%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São Paulo: 34,3%</w:t>
      </w:r>
    </w:p>
    <w:p w:rsidR="00FC79C8" w:rsidRPr="00FC79C8" w:rsidRDefault="00FC79C8" w:rsidP="00FC79C8">
      <w:pPr>
        <w:pStyle w:val="NormalWeb"/>
        <w:shd w:val="clear" w:color="auto" w:fill="FFFFFF"/>
        <w:spacing w:before="0" w:beforeAutospacing="0" w:after="0" w:afterAutospacing="0" w:line="348" w:lineRule="atLeast"/>
        <w:jc w:val="center"/>
        <w:rPr>
          <w:rFonts w:asciiTheme="minorHAnsi" w:hAnsiTheme="minorHAnsi" w:cstheme="minorHAnsi"/>
          <w:color w:val="333333"/>
          <w:spacing w:val="-5"/>
          <w:sz w:val="30"/>
          <w:szCs w:val="30"/>
        </w:rPr>
      </w:pPr>
      <w:r w:rsidRPr="00FC79C8">
        <w:rPr>
          <w:rStyle w:val="Forte"/>
          <w:rFonts w:asciiTheme="minorHAnsi" w:hAnsiTheme="minorHAnsi" w:cstheme="minorHAnsi"/>
          <w:color w:val="333333"/>
          <w:spacing w:val="-5"/>
          <w:sz w:val="36"/>
          <w:szCs w:val="36"/>
        </w:rPr>
        <w:t>Sul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Paraná: 33,4%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Rio Grande do Sul: 37,2%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Santa Catarina: 33,7%</w:t>
      </w:r>
    </w:p>
    <w:p w:rsidR="00FC79C8" w:rsidRPr="00FC79C8" w:rsidRDefault="00FC79C8" w:rsidP="00FC79C8">
      <w:pPr>
        <w:pStyle w:val="NormalWeb"/>
        <w:shd w:val="clear" w:color="auto" w:fill="FFFFFF"/>
        <w:spacing w:before="0" w:beforeAutospacing="0" w:after="0" w:afterAutospacing="0" w:line="348" w:lineRule="atLeast"/>
        <w:jc w:val="center"/>
        <w:rPr>
          <w:rFonts w:asciiTheme="minorHAnsi" w:hAnsiTheme="minorHAnsi" w:cstheme="minorHAnsi"/>
          <w:color w:val="333333"/>
          <w:spacing w:val="-5"/>
          <w:sz w:val="30"/>
          <w:szCs w:val="30"/>
        </w:rPr>
      </w:pPr>
      <w:r w:rsidRPr="00FC79C8">
        <w:rPr>
          <w:rStyle w:val="Forte"/>
          <w:rFonts w:asciiTheme="minorHAnsi" w:hAnsiTheme="minorHAnsi" w:cstheme="minorHAnsi"/>
          <w:color w:val="333333"/>
          <w:spacing w:val="-5"/>
          <w:sz w:val="36"/>
          <w:szCs w:val="36"/>
        </w:rPr>
        <w:t>Centro-Oeste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Distrito Federal: 27,3%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Goiás: 28,8%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Mato Grosso do Sul: 32,9%</w:t>
      </w:r>
      <w:r w:rsidRPr="00FC79C8">
        <w:rPr>
          <w:rFonts w:asciiTheme="minorHAnsi" w:hAnsiTheme="minorHAnsi" w:cstheme="minorHAnsi"/>
          <w:color w:val="333333"/>
          <w:spacing w:val="-5"/>
          <w:sz w:val="23"/>
          <w:szCs w:val="23"/>
        </w:rPr>
        <w:br/>
      </w:r>
      <w:r w:rsidRPr="00FC79C8">
        <w:rPr>
          <w:rFonts w:asciiTheme="minorHAnsi" w:hAnsiTheme="minorHAnsi" w:cstheme="minorHAnsi"/>
          <w:color w:val="333333"/>
          <w:spacing w:val="-5"/>
          <w:sz w:val="30"/>
          <w:szCs w:val="30"/>
        </w:rPr>
        <w:t>Mato Grosso: 47,2%</w:t>
      </w:r>
    </w:p>
    <w:p w:rsidR="00C06F0A" w:rsidRPr="00FC79C8" w:rsidRDefault="00C06F0A" w:rsidP="00FC79C8">
      <w:pPr>
        <w:jc w:val="center"/>
        <w:rPr>
          <w:rFonts w:cstheme="minorHAnsi"/>
        </w:rPr>
      </w:pPr>
    </w:p>
    <w:sectPr w:rsidR="00C06F0A" w:rsidRPr="00FC79C8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79C8"/>
    <w:rsid w:val="005A5585"/>
    <w:rsid w:val="006B3E6D"/>
    <w:rsid w:val="008439F5"/>
    <w:rsid w:val="00C06F0A"/>
    <w:rsid w:val="00FC7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7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C79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86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540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2015-01-21T17:57:00Z</dcterms:created>
  <dcterms:modified xsi:type="dcterms:W3CDTF">2015-01-21T17:59:00Z</dcterms:modified>
</cp:coreProperties>
</file>